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46A46741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42EE797" w:rsidR="00AE00EF" w:rsidRPr="003D5382" w:rsidRDefault="00BA7C0B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BA7C0B">
              <w:rPr>
                <w:rFonts w:cstheme="minorHAnsi"/>
                <w:b/>
                <w:szCs w:val="20"/>
              </w:rPr>
              <w:t xml:space="preserve">Zakup i wdrożenie systemu SIEM </w:t>
            </w:r>
            <w:proofErr w:type="spellStart"/>
            <w:r w:rsidRPr="00BA7C0B">
              <w:rPr>
                <w:rFonts w:cstheme="minorHAnsi"/>
                <w:b/>
                <w:szCs w:val="20"/>
              </w:rPr>
              <w:t>Splunk</w:t>
            </w:r>
            <w:proofErr w:type="spellEnd"/>
            <w:r w:rsidRPr="00BA7C0B">
              <w:rPr>
                <w:rFonts w:cstheme="minorHAnsi"/>
                <w:b/>
                <w:szCs w:val="20"/>
              </w:rPr>
              <w:t xml:space="preserve"> Enterprise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BAFA3CA" w14:textId="77777777" w:rsidR="00FF3991" w:rsidRPr="00D114F4" w:rsidRDefault="00FF3991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D114F4">
        <w:rPr>
          <w:rFonts w:cstheme="minorHAnsi"/>
          <w:b/>
          <w:iCs/>
          <w:szCs w:val="20"/>
          <w:lang w:eastAsia="en-US"/>
        </w:rPr>
        <w:t>zgodnie z poniższym: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1454"/>
        <w:gridCol w:w="5493"/>
        <w:gridCol w:w="1569"/>
        <w:gridCol w:w="992"/>
      </w:tblGrid>
      <w:tr w:rsidR="001E48EC" w:rsidRPr="00D114F4" w14:paraId="79D8E5C8" w14:textId="00B3D795" w:rsidTr="001E48EC">
        <w:trPr>
          <w:trHeight w:val="328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637" w14:textId="77777777" w:rsidR="001E48EC" w:rsidRPr="00D114F4" w:rsidRDefault="001E48EC" w:rsidP="00CC3B8B">
            <w:pPr>
              <w:jc w:val="left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980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114F4">
              <w:rPr>
                <w:rFonts w:cstheme="minorHAnsi"/>
                <w:b/>
                <w:bCs/>
                <w:szCs w:val="20"/>
              </w:rPr>
              <w:t xml:space="preserve">Product </w:t>
            </w: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Code</w:t>
            </w:r>
            <w:proofErr w:type="spellEnd"/>
          </w:p>
          <w:p w14:paraId="0407ABDA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E16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114F4">
              <w:rPr>
                <w:rFonts w:cstheme="minorHAnsi"/>
                <w:b/>
                <w:bCs/>
                <w:szCs w:val="20"/>
              </w:rPr>
              <w:t xml:space="preserve">Opis Product </w:t>
            </w:r>
          </w:p>
          <w:p w14:paraId="1C841C0F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2BAA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Qty</w:t>
            </w:r>
            <w:proofErr w:type="spellEnd"/>
            <w:r w:rsidRPr="00D114F4">
              <w:rPr>
                <w:rFonts w:cstheme="minorHAnsi"/>
                <w:b/>
                <w:bCs/>
                <w:szCs w:val="20"/>
              </w:rPr>
              <w:t xml:space="preserve"> / </w:t>
            </w: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Capacity</w:t>
            </w:r>
            <w:proofErr w:type="spellEnd"/>
            <w:r w:rsidRPr="00D114F4">
              <w:rPr>
                <w:rFonts w:cstheme="minorHAnsi"/>
                <w:b/>
                <w:bCs/>
                <w:szCs w:val="20"/>
              </w:rPr>
              <w:t xml:space="preserve"> (GB/Day)/ # of </w:t>
            </w: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seats</w:t>
            </w:r>
            <w:proofErr w:type="spellEnd"/>
            <w:r w:rsidRPr="00D114F4">
              <w:rPr>
                <w:rFonts w:cstheme="minorHAnsi"/>
                <w:b/>
                <w:bCs/>
                <w:szCs w:val="20"/>
              </w:rPr>
              <w:t xml:space="preserve">/ </w:t>
            </w: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Use</w:t>
            </w:r>
            <w:proofErr w:type="spellEnd"/>
            <w:r w:rsidRPr="00D114F4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b/>
                <w:bCs/>
                <w:szCs w:val="20"/>
              </w:rPr>
              <w:t>Cases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541B" w14:textId="77777777" w:rsidR="001E48EC" w:rsidRPr="00D114F4" w:rsidRDefault="001E48EC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114F4">
              <w:rPr>
                <w:rFonts w:cstheme="minorHAnsi"/>
                <w:b/>
                <w:bCs/>
                <w:szCs w:val="20"/>
              </w:rPr>
              <w:t>Cena netto</w:t>
            </w:r>
          </w:p>
          <w:p w14:paraId="0E6231D2" w14:textId="59774904" w:rsidR="008051B7" w:rsidRPr="00D114F4" w:rsidRDefault="008051B7" w:rsidP="00CC3B8B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114F4">
              <w:rPr>
                <w:rFonts w:cstheme="minorHAnsi"/>
                <w:b/>
                <w:bCs/>
                <w:szCs w:val="20"/>
              </w:rPr>
              <w:t>[PLN]</w:t>
            </w:r>
          </w:p>
        </w:tc>
      </w:tr>
      <w:tr w:rsidR="001E48EC" w:rsidRPr="00D114F4" w14:paraId="1E886D51" w14:textId="681DEBBA" w:rsidTr="001E48EC">
        <w:trPr>
          <w:trHeight w:val="32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F5F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1</w:t>
            </w:r>
          </w:p>
          <w:p w14:paraId="006440C7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DCA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SE-T-LIC-ST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A67" w14:textId="77777777" w:rsidR="001E48EC" w:rsidRPr="00D114F4" w:rsidRDefault="001E48EC" w:rsidP="00CC3B8B">
            <w:pPr>
              <w:jc w:val="left"/>
              <w:rPr>
                <w:rFonts w:cstheme="minorHAnsi"/>
                <w:color w:val="000000"/>
                <w:szCs w:val="20"/>
              </w:rPr>
            </w:pPr>
            <w:proofErr w:type="spellStart"/>
            <w:r w:rsidRPr="00D114F4">
              <w:rPr>
                <w:rFonts w:cstheme="minorHAnsi"/>
                <w:szCs w:val="20"/>
              </w:rPr>
              <w:t>Splunk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Enterprise - Term License with Standard </w:t>
            </w:r>
            <w:proofErr w:type="spellStart"/>
            <w:r w:rsidRPr="00D114F4">
              <w:rPr>
                <w:rFonts w:cstheme="minorHAnsi"/>
                <w:szCs w:val="20"/>
              </w:rPr>
              <w:t>Success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Plan - GB/</w:t>
            </w:r>
            <w:proofErr w:type="spellStart"/>
            <w:r w:rsidRPr="00D114F4">
              <w:rPr>
                <w:rFonts w:cstheme="minorHAnsi"/>
                <w:szCs w:val="20"/>
              </w:rPr>
              <w:t>day</w:t>
            </w:r>
            <w:proofErr w:type="spellEnd"/>
            <w:r w:rsidRPr="00D114F4">
              <w:rPr>
                <w:rFonts w:cstheme="minorHAnsi"/>
                <w:szCs w:val="20"/>
              </w:rPr>
              <w:br/>
            </w:r>
            <w:proofErr w:type="spellStart"/>
            <w:r w:rsidRPr="00D114F4">
              <w:rPr>
                <w:rFonts w:cstheme="minorHAnsi"/>
                <w:szCs w:val="20"/>
              </w:rPr>
              <w:t>Includes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- </w:t>
            </w:r>
            <w:proofErr w:type="spellStart"/>
            <w:r w:rsidRPr="00D114F4">
              <w:rPr>
                <w:rFonts w:cstheme="minorHAnsi"/>
                <w:szCs w:val="20"/>
              </w:rPr>
              <w:t>Support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as </w:t>
            </w:r>
            <w:proofErr w:type="spellStart"/>
            <w:r w:rsidRPr="00D114F4">
              <w:rPr>
                <w:rFonts w:cstheme="minorHAnsi"/>
                <w:szCs w:val="20"/>
              </w:rPr>
              <w:t>described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at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https://www.splunk.com/en_us/support-andservices/support-programs.html and the </w:t>
            </w:r>
            <w:proofErr w:type="spellStart"/>
            <w:r w:rsidRPr="00D114F4">
              <w:rPr>
                <w:rFonts w:cstheme="minorHAnsi"/>
                <w:szCs w:val="20"/>
              </w:rPr>
              <w:t>terms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in </w:t>
            </w:r>
            <w:proofErr w:type="spellStart"/>
            <w:r w:rsidRPr="00D114F4">
              <w:rPr>
                <w:rFonts w:cstheme="minorHAnsi"/>
                <w:szCs w:val="20"/>
              </w:rPr>
              <w:t>any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other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agreement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do not </w:t>
            </w:r>
            <w:proofErr w:type="spellStart"/>
            <w:r w:rsidRPr="00D114F4">
              <w:rPr>
                <w:rFonts w:cstheme="minorHAnsi"/>
                <w:szCs w:val="20"/>
              </w:rPr>
              <w:t>apply</w:t>
            </w:r>
            <w:proofErr w:type="spellEnd"/>
            <w:r w:rsidRPr="00D114F4">
              <w:rPr>
                <w:rFonts w:cstheme="minorHAnsi"/>
                <w:szCs w:val="20"/>
              </w:rPr>
              <w:t>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963C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2AE1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E48EC" w:rsidRPr="00D114F4" w14:paraId="0806CBDA" w14:textId="321ED5E7" w:rsidTr="001E48EC">
        <w:trPr>
          <w:trHeight w:val="32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704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2</w:t>
            </w:r>
          </w:p>
          <w:p w14:paraId="28A0D64E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</w:p>
          <w:p w14:paraId="3D4A3FEF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863E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ES-T-LIC-ST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F13C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proofErr w:type="spellStart"/>
            <w:r w:rsidRPr="00D114F4">
              <w:rPr>
                <w:rFonts w:cstheme="minorHAnsi"/>
                <w:szCs w:val="20"/>
              </w:rPr>
              <w:t>Splunk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Enterprise Security - Term License</w:t>
            </w:r>
            <w:r w:rsidRPr="00D114F4">
              <w:rPr>
                <w:rFonts w:cstheme="minorHAnsi"/>
                <w:szCs w:val="20"/>
              </w:rPr>
              <w:br/>
              <w:t xml:space="preserve">with Standard </w:t>
            </w:r>
            <w:proofErr w:type="spellStart"/>
            <w:r w:rsidRPr="00D114F4">
              <w:rPr>
                <w:rFonts w:cstheme="minorHAnsi"/>
                <w:szCs w:val="20"/>
              </w:rPr>
              <w:t>Success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Plan - GB/</w:t>
            </w:r>
            <w:proofErr w:type="spellStart"/>
            <w:r w:rsidRPr="00D114F4">
              <w:rPr>
                <w:rFonts w:cstheme="minorHAnsi"/>
                <w:szCs w:val="20"/>
              </w:rPr>
              <w:t>day</w:t>
            </w:r>
            <w:proofErr w:type="spellEnd"/>
            <w:r w:rsidRPr="00D114F4">
              <w:rPr>
                <w:rFonts w:cstheme="minorHAnsi"/>
                <w:szCs w:val="20"/>
              </w:rPr>
              <w:br/>
            </w:r>
            <w:proofErr w:type="spellStart"/>
            <w:r w:rsidRPr="00D114F4">
              <w:rPr>
                <w:rFonts w:cstheme="minorHAnsi"/>
                <w:szCs w:val="20"/>
              </w:rPr>
              <w:t>Includes</w:t>
            </w:r>
            <w:proofErr w:type="spellEnd"/>
            <w:r w:rsidRPr="00D114F4">
              <w:rPr>
                <w:rFonts w:cstheme="minorHAnsi"/>
                <w:szCs w:val="20"/>
              </w:rPr>
              <w:br/>
              <w:t xml:space="preserve">- </w:t>
            </w:r>
            <w:proofErr w:type="spellStart"/>
            <w:r w:rsidRPr="00D114F4">
              <w:rPr>
                <w:rFonts w:cstheme="minorHAnsi"/>
                <w:szCs w:val="20"/>
              </w:rPr>
              <w:t>Support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as </w:t>
            </w:r>
            <w:proofErr w:type="spellStart"/>
            <w:r w:rsidRPr="00D114F4">
              <w:rPr>
                <w:rFonts w:cstheme="minorHAnsi"/>
                <w:szCs w:val="20"/>
              </w:rPr>
              <w:t>described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at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https://</w:t>
            </w:r>
            <w:r w:rsidRPr="00D114F4">
              <w:rPr>
                <w:rFonts w:cstheme="minorHAnsi"/>
                <w:szCs w:val="20"/>
              </w:rPr>
              <w:br/>
              <w:t>www.splunk.com/en_us/support-andservices/</w:t>
            </w:r>
            <w:r w:rsidRPr="00D114F4">
              <w:rPr>
                <w:rFonts w:cstheme="minorHAnsi"/>
                <w:szCs w:val="20"/>
              </w:rPr>
              <w:br/>
              <w:t>support-programs.html and the</w:t>
            </w:r>
            <w:r w:rsidRPr="00D114F4">
              <w:rPr>
                <w:rFonts w:cstheme="minorHAnsi"/>
                <w:szCs w:val="20"/>
              </w:rPr>
              <w:br/>
            </w:r>
            <w:proofErr w:type="spellStart"/>
            <w:r w:rsidRPr="00D114F4">
              <w:rPr>
                <w:rFonts w:cstheme="minorHAnsi"/>
                <w:szCs w:val="20"/>
              </w:rPr>
              <w:t>terms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in </w:t>
            </w:r>
            <w:proofErr w:type="spellStart"/>
            <w:r w:rsidRPr="00D114F4">
              <w:rPr>
                <w:rFonts w:cstheme="minorHAnsi"/>
                <w:szCs w:val="20"/>
              </w:rPr>
              <w:t>any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other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114F4">
              <w:rPr>
                <w:rFonts w:cstheme="minorHAnsi"/>
                <w:szCs w:val="20"/>
              </w:rPr>
              <w:t>agreement</w:t>
            </w:r>
            <w:proofErr w:type="spellEnd"/>
            <w:r w:rsidRPr="00D114F4">
              <w:rPr>
                <w:rFonts w:cstheme="minorHAnsi"/>
                <w:szCs w:val="20"/>
              </w:rPr>
              <w:t xml:space="preserve"> do not </w:t>
            </w:r>
            <w:proofErr w:type="spellStart"/>
            <w:r w:rsidRPr="00D114F4">
              <w:rPr>
                <w:rFonts w:cstheme="minorHAnsi"/>
                <w:szCs w:val="20"/>
              </w:rPr>
              <w:t>apply</w:t>
            </w:r>
            <w:proofErr w:type="spellEnd"/>
            <w:r w:rsidRPr="00D114F4">
              <w:rPr>
                <w:rFonts w:cstheme="minorHAnsi"/>
                <w:szCs w:val="20"/>
              </w:rPr>
              <w:t>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562D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C26D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E48EC" w:rsidRPr="00D114F4" w14:paraId="0CD23167" w14:textId="0C2FC2B1" w:rsidTr="001E48EC">
        <w:trPr>
          <w:trHeight w:val="328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12F6" w14:textId="77777777" w:rsidR="001E48EC" w:rsidRPr="00D114F4" w:rsidRDefault="001E48EC" w:rsidP="00CC3B8B">
            <w:pPr>
              <w:jc w:val="right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3A6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Wdrożenie systemu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AE8E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 xml:space="preserve">Wdrożenie systemu SPLUNK w infrastrukturze ENEA </w:t>
            </w:r>
          </w:p>
          <w:p w14:paraId="3962631D" w14:textId="77777777" w:rsidR="001E48EC" w:rsidRPr="00D114F4" w:rsidRDefault="001E48EC" w:rsidP="00CC3B8B">
            <w:pPr>
              <w:jc w:val="left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szCs w:val="20"/>
              </w:rPr>
              <w:t>- instalacja, konfiguracja i uruchomienie systemu (on-line lub on-</w:t>
            </w:r>
            <w:proofErr w:type="spellStart"/>
            <w:r w:rsidRPr="00D114F4">
              <w:rPr>
                <w:rFonts w:cstheme="minorHAnsi"/>
                <w:szCs w:val="20"/>
              </w:rPr>
              <w:t>site</w:t>
            </w:r>
            <w:proofErr w:type="spellEnd"/>
            <w:r w:rsidRPr="00D114F4">
              <w:rPr>
                <w:rFonts w:cstheme="minorHAnsi"/>
                <w:szCs w:val="20"/>
              </w:rPr>
              <w:t>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12E19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CB3C7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  <w:tr w:rsidR="001E48EC" w:rsidRPr="00D114F4" w14:paraId="7FB8A609" w14:textId="5C99AAF7" w:rsidTr="001E48EC">
        <w:trPr>
          <w:trHeight w:val="328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F85C" w14:textId="77777777" w:rsidR="001E48EC" w:rsidRPr="00D114F4" w:rsidRDefault="001E48EC" w:rsidP="00CC3B8B">
            <w:pPr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t>4</w:t>
            </w:r>
          </w:p>
          <w:p w14:paraId="70EDC73F" w14:textId="77777777" w:rsidR="001E48EC" w:rsidRPr="00D114F4" w:rsidRDefault="001E48EC" w:rsidP="00CC3B8B">
            <w:pPr>
              <w:rPr>
                <w:rFonts w:cstheme="minorHAnsi"/>
                <w:color w:val="000000"/>
                <w:szCs w:val="20"/>
              </w:rPr>
            </w:pPr>
          </w:p>
          <w:p w14:paraId="6D01B664" w14:textId="77777777" w:rsidR="001E48EC" w:rsidRPr="00D114F4" w:rsidRDefault="001E48EC" w:rsidP="00CC3B8B">
            <w:pPr>
              <w:rPr>
                <w:rFonts w:cstheme="minorHAnsi"/>
                <w:color w:val="000000"/>
                <w:szCs w:val="20"/>
              </w:rPr>
            </w:pPr>
          </w:p>
          <w:p w14:paraId="75BF19EE" w14:textId="77777777" w:rsidR="001E48EC" w:rsidRPr="00D114F4" w:rsidRDefault="001E48EC" w:rsidP="00CC3B8B">
            <w:pPr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630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utrzymanie systemu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5A79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 xml:space="preserve">Utrzymanie Systemu SPLUNK w okresie 12 miesięcy </w:t>
            </w:r>
          </w:p>
          <w:p w14:paraId="01A1C866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- wsparcie przy aktualizacji systemu</w:t>
            </w:r>
          </w:p>
          <w:p w14:paraId="3691AEDF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- rozwiązywanie problemów z działaniem platformy</w:t>
            </w:r>
          </w:p>
          <w:p w14:paraId="0DEE753C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- wykonywanie cyklicznych przeglądów systemu</w:t>
            </w:r>
          </w:p>
          <w:p w14:paraId="10144409" w14:textId="77777777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lastRenderedPageBreak/>
              <w:t>- wsparcie merytoryczne i doradztwo techniczne dotyczące najlepszych praktyk w implementacji i konfiguracji systemu</w:t>
            </w:r>
          </w:p>
          <w:p w14:paraId="5637BBEC" w14:textId="423A41C5" w:rsidR="001E48EC" w:rsidRPr="00D114F4" w:rsidRDefault="001E48EC" w:rsidP="00CC3B8B">
            <w:pPr>
              <w:jc w:val="left"/>
              <w:rPr>
                <w:rFonts w:cstheme="minorHAnsi"/>
                <w:szCs w:val="20"/>
              </w:rPr>
            </w:pPr>
            <w:r w:rsidRPr="00D114F4">
              <w:rPr>
                <w:rFonts w:cstheme="minorHAnsi"/>
                <w:szCs w:val="20"/>
              </w:rPr>
              <w:t>- pomoc przy zgłaszaniu i prowadzeniu zgłoszeń w suporcie producenta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1272D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D114F4">
              <w:rPr>
                <w:rFonts w:cstheme="minorHAnsi"/>
                <w:color w:val="00000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09F20" w14:textId="77777777" w:rsidR="001E48EC" w:rsidRPr="00D114F4" w:rsidRDefault="001E48EC" w:rsidP="00CC3B8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</w:tr>
    </w:tbl>
    <w:p w14:paraId="5A2E037C" w14:textId="61A8BE6F" w:rsidR="00316883" w:rsidRPr="00D114F4" w:rsidRDefault="0031688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7E035741" w14:textId="77777777" w:rsidR="001E48EC" w:rsidRPr="003D5382" w:rsidRDefault="001E48EC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297033">
        <w:rPr>
          <w:rFonts w:asciiTheme="minorHAnsi" w:hAnsiTheme="minorHAnsi" w:cstheme="minorHAnsi"/>
          <w:szCs w:val="20"/>
        </w:rPr>
      </w:r>
      <w:r w:rsidR="00297033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1E0ACEC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0F4DC6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97033">
        <w:rPr>
          <w:rFonts w:asciiTheme="minorHAnsi" w:hAnsiTheme="minorHAnsi" w:cstheme="minorHAnsi"/>
          <w:szCs w:val="20"/>
        </w:rPr>
      </w:r>
      <w:r w:rsidR="0029703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97033">
        <w:rPr>
          <w:rFonts w:asciiTheme="minorHAnsi" w:hAnsiTheme="minorHAnsi" w:cstheme="minorHAnsi"/>
          <w:szCs w:val="20"/>
        </w:rPr>
      </w:r>
      <w:r w:rsidR="0029703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97033">
        <w:rPr>
          <w:rFonts w:asciiTheme="minorHAnsi" w:hAnsiTheme="minorHAnsi" w:cstheme="minorHAnsi"/>
          <w:szCs w:val="20"/>
        </w:rPr>
      </w:r>
      <w:r w:rsidR="0029703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297033">
        <w:rPr>
          <w:rFonts w:asciiTheme="minorHAnsi" w:hAnsiTheme="minorHAnsi" w:cstheme="minorHAnsi"/>
          <w:szCs w:val="20"/>
        </w:rPr>
      </w:r>
      <w:r w:rsidR="00297033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08429185" w:rsidR="00D14E47" w:rsidRPr="003D5382" w:rsidRDefault="00BA7C0B" w:rsidP="00BA7C0B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5382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3D5382" w:rsidRDefault="00EE5356" w:rsidP="003D5382">
            <w:pPr>
              <w:rPr>
                <w:rFonts w:cstheme="minorHAnsi"/>
                <w:szCs w:val="20"/>
              </w:rPr>
            </w:pPr>
          </w:p>
        </w:tc>
      </w:tr>
      <w:tr w:rsidR="00EE5356" w:rsidRPr="003D5382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3D5382" w:rsidRDefault="00EE535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EE5356" w:rsidRPr="003D5382" w:rsidRDefault="0025327E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EE5356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4035879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7E46BF" w:rsidRPr="003D5382">
        <w:rPr>
          <w:rFonts w:cstheme="minorHAnsi"/>
          <w:sz w:val="20"/>
          <w:szCs w:val="20"/>
          <w:u w:val="single"/>
        </w:rPr>
        <w:t>Ą</w:t>
      </w:r>
      <w:r w:rsidR="003F62A6" w:rsidRPr="003D5382">
        <w:rPr>
          <w:rFonts w:cstheme="minorHAnsi"/>
          <w:sz w:val="20"/>
          <w:szCs w:val="20"/>
          <w:u w:val="single"/>
        </w:rPr>
        <w:t>)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1CC5F99F" w:rsidR="00235D79" w:rsidRDefault="00BA7C0B" w:rsidP="00147A88">
      <w:pPr>
        <w:jc w:val="center"/>
        <w:rPr>
          <w:rFonts w:cstheme="minorHAnsi"/>
          <w:b/>
          <w:szCs w:val="20"/>
        </w:rPr>
      </w:pPr>
      <w:r w:rsidRPr="00BA7C0B">
        <w:rPr>
          <w:rFonts w:cstheme="minorHAnsi"/>
          <w:b/>
          <w:szCs w:val="20"/>
        </w:rPr>
        <w:t xml:space="preserve">Zakup i wdrożenie systemu SIEM </w:t>
      </w:r>
      <w:proofErr w:type="spellStart"/>
      <w:r w:rsidRPr="00BA7C0B">
        <w:rPr>
          <w:rFonts w:cstheme="minorHAnsi"/>
          <w:b/>
          <w:szCs w:val="20"/>
        </w:rPr>
        <w:t>Splunk</w:t>
      </w:r>
      <w:proofErr w:type="spellEnd"/>
      <w:r w:rsidRPr="00BA7C0B">
        <w:rPr>
          <w:rFonts w:cstheme="minorHAnsi"/>
          <w:b/>
          <w:szCs w:val="20"/>
        </w:rPr>
        <w:t xml:space="preserve"> Enterprise</w:t>
      </w:r>
    </w:p>
    <w:p w14:paraId="72061243" w14:textId="77777777" w:rsidR="00BA7C0B" w:rsidRPr="003D5382" w:rsidRDefault="00BA7C0B" w:rsidP="00147A88">
      <w:pPr>
        <w:jc w:val="center"/>
        <w:rPr>
          <w:rFonts w:cstheme="minorHAnsi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3D5382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cstheme="minorHAnsi"/>
                <w:szCs w:val="20"/>
              </w:rPr>
            </w:r>
            <w:r w:rsidR="00297033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cstheme="minorHAnsi"/>
                <w:szCs w:val="20"/>
              </w:rPr>
            </w:r>
            <w:r w:rsidR="00297033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3D5382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3D5382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2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Beneficjentem rzeczywistym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</w:t>
            </w:r>
          </w:p>
          <w:p w14:paraId="6E52E527" w14:textId="77777777" w:rsidR="001E50C0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6ACC6F66" w14:textId="2D08D8AF" w:rsidR="001E50C0" w:rsidRPr="00671573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806E5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8806E5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4C3A9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</w:t>
            </w:r>
            <w:r w:rsidRPr="003F63E0">
              <w:rPr>
                <w:rFonts w:asciiTheme="minorHAnsi" w:eastAsiaTheme="minorHAnsi" w:hAnsiTheme="minorHAnsi" w:cstheme="minorHAnsi"/>
                <w:szCs w:val="20"/>
              </w:rPr>
              <w:t xml:space="preserve"> ……………………………………………………</w:t>
            </w:r>
          </w:p>
          <w:p w14:paraId="53DFA4CA" w14:textId="1123ED5A" w:rsidR="001E50C0" w:rsidRPr="003D5382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>Jednostką dominującą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Cs w:val="20"/>
              </w:rPr>
              <w:footnoteReference w:id="4"/>
            </w: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Wykonawcy jest: </w:t>
            </w:r>
          </w:p>
          <w:p w14:paraId="454C9FDB" w14:textId="77777777" w:rsidR="001E50C0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F63E0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jest osoba wpisana na Listy Sankcyjne lub </w:t>
            </w:r>
          </w:p>
          <w:p w14:paraId="3523593F" w14:textId="0C10BD18" w:rsidR="001E50C0" w:rsidRPr="00671573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1E50C0">
              <w:rPr>
                <w:rFonts w:eastAsiaTheme="minorHAnsi" w:cstheme="minorHAnsi"/>
                <w:i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3F63E0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/>
                <w:color w:val="000000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Cs w:val="20"/>
              </w:rPr>
              <w:t xml:space="preserve">Wykonawca </w:t>
            </w:r>
            <w:r w:rsidRPr="003F63E0">
              <w:rPr>
                <w:rFonts w:asciiTheme="minorHAnsi" w:hAnsiTheme="minorHAnsi" w:cstheme="minorHAnsi"/>
                <w:i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3D5382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3F63E0">
              <w:rPr>
                <w:rFonts w:asciiTheme="minorHAnsi" w:hAnsiTheme="minorHAnsi" w:cstheme="minorHAnsi"/>
                <w:b/>
                <w:i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3F63E0">
              <w:rPr>
                <w:rFonts w:asciiTheme="minorHAnsi" w:hAnsiTheme="minorHAnsi" w:cstheme="minorHAnsi"/>
                <w:i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3D5382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3D5382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3D5382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3D5382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projekty</w:t>
            </w:r>
            <w:r w:rsidR="001E50C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3D5382" w:rsidRDefault="00E43420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3D5382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3D5382" w14:paraId="601C8FCB" w14:textId="77777777" w:rsidTr="004705CD">
        <w:tc>
          <w:tcPr>
            <w:tcW w:w="6478" w:type="dxa"/>
            <w:vAlign w:val="center"/>
          </w:tcPr>
          <w:p w14:paraId="105DD786" w14:textId="7B88C83D" w:rsidR="00671573" w:rsidRPr="003D5382" w:rsidRDefault="00671573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posiadanie </w:t>
            </w:r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aktualnego statusu partnera (co najmniej PREMIER) producenta </w:t>
            </w:r>
            <w:proofErr w:type="spellStart"/>
            <w:r w:rsidR="00BA7C0B" w:rsidRPr="00BA7C0B">
              <w:rPr>
                <w:rFonts w:asciiTheme="minorHAnsi" w:eastAsiaTheme="minorHAnsi" w:hAnsiTheme="minorHAnsi" w:cstheme="minorHAnsi"/>
                <w:i/>
                <w:szCs w:val="20"/>
              </w:rPr>
              <w:t>Splunk</w:t>
            </w:r>
            <w:proofErr w:type="spellEnd"/>
          </w:p>
        </w:tc>
        <w:tc>
          <w:tcPr>
            <w:tcW w:w="2584" w:type="dxa"/>
            <w:vAlign w:val="center"/>
          </w:tcPr>
          <w:p w14:paraId="7B21F0B7" w14:textId="02EC9650" w:rsidR="00671573" w:rsidRPr="003D5382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</w:r>
            <w:r w:rsidR="00297033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3D5382" w14:paraId="4502D3BA" w14:textId="77777777" w:rsidTr="004705CD">
        <w:tc>
          <w:tcPr>
            <w:tcW w:w="9062" w:type="dxa"/>
            <w:gridSpan w:val="2"/>
            <w:vAlign w:val="center"/>
          </w:tcPr>
          <w:p w14:paraId="6A471BCF" w14:textId="77777777" w:rsidR="00E43420" w:rsidRPr="003D5382" w:rsidRDefault="00E43420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E43420" w:rsidRPr="003D5382" w14:paraId="09281766" w14:textId="77777777" w:rsidTr="004705CD">
        <w:tc>
          <w:tcPr>
            <w:tcW w:w="6478" w:type="dxa"/>
            <w:vAlign w:val="center"/>
          </w:tcPr>
          <w:p w14:paraId="4D4B6E54" w14:textId="46D1A00E" w:rsidR="00E43420" w:rsidRPr="003D5382" w:rsidRDefault="00E43420" w:rsidP="00807005">
            <w:pPr>
              <w:pStyle w:val="Akapitzlist"/>
              <w:numPr>
                <w:ilvl w:val="0"/>
                <w:numId w:val="45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A54A27" w:rsidRPr="003D5382">
              <w:rPr>
                <w:rFonts w:asciiTheme="minorHAnsi" w:eastAsiaTheme="minorHAnsi" w:hAnsiTheme="minorHAnsi" w:cstheme="minorHAnsi"/>
                <w:i/>
                <w:szCs w:val="20"/>
              </w:rPr>
              <w:t>. WZ</w:t>
            </w:r>
          </w:p>
        </w:tc>
        <w:tc>
          <w:tcPr>
            <w:tcW w:w="2584" w:type="dxa"/>
            <w:vAlign w:val="center"/>
          </w:tcPr>
          <w:p w14:paraId="281A046A" w14:textId="77777777" w:rsidR="00E43420" w:rsidRPr="003D5382" w:rsidRDefault="00E43420" w:rsidP="003D5382">
            <w:pPr>
              <w:pStyle w:val="Akapitzlist"/>
              <w:spacing w:line="276" w:lineRule="auto"/>
              <w:ind w:left="640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7033">
              <w:rPr>
                <w:rFonts w:asciiTheme="minorHAnsi" w:hAnsiTheme="minorHAnsi" w:cstheme="minorHAnsi"/>
                <w:szCs w:val="20"/>
              </w:rPr>
            </w:r>
            <w:r w:rsidR="00297033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01AB28C4" w:rsidR="003F62A6" w:rsidRPr="003D5382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F62A6" w:rsidRPr="003D5382" w14:paraId="40300768" w14:textId="77777777" w:rsidTr="00D251EC">
        <w:trPr>
          <w:trHeight w:hRule="exact" w:val="7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F1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F62A6" w:rsidRPr="003D5382" w14:paraId="05689619" w14:textId="77777777" w:rsidTr="00D251EC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0603" w14:textId="77777777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3F62A6" w:rsidRPr="003D5382" w:rsidRDefault="003F62A6" w:rsidP="003D5382">
            <w:pPr>
              <w:tabs>
                <w:tab w:val="left" w:pos="709"/>
              </w:tabs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49563245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F85E4A" w:rsidRPr="003D5382">
        <w:rPr>
          <w:rFonts w:cstheme="minorHAnsi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562DB003" w14:textId="77777777" w:rsidR="00BA7C0B" w:rsidRDefault="00BA7C0B" w:rsidP="00BA7C0B">
      <w:pPr>
        <w:jc w:val="center"/>
        <w:rPr>
          <w:rFonts w:cstheme="minorHAnsi"/>
          <w:b/>
          <w:szCs w:val="20"/>
        </w:rPr>
      </w:pPr>
      <w:r w:rsidRPr="00BA7C0B">
        <w:rPr>
          <w:rFonts w:cstheme="minorHAnsi"/>
          <w:b/>
          <w:szCs w:val="20"/>
        </w:rPr>
        <w:t xml:space="preserve">Zakup i wdrożenie systemu SIEM </w:t>
      </w:r>
      <w:proofErr w:type="spellStart"/>
      <w:r w:rsidRPr="00BA7C0B">
        <w:rPr>
          <w:rFonts w:cstheme="minorHAnsi"/>
          <w:b/>
          <w:szCs w:val="20"/>
        </w:rPr>
        <w:t>Splunk</w:t>
      </w:r>
      <w:proofErr w:type="spellEnd"/>
      <w:r w:rsidRPr="00BA7C0B">
        <w:rPr>
          <w:rFonts w:cstheme="minorHAnsi"/>
          <w:b/>
          <w:szCs w:val="20"/>
        </w:rPr>
        <w:t xml:space="preserve"> Enterprise</w:t>
      </w:r>
    </w:p>
    <w:p w14:paraId="6CA90B53" w14:textId="77777777" w:rsidR="00147A88" w:rsidRPr="003D5382" w:rsidRDefault="00147A8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77777777" w:rsidR="00A82406" w:rsidRPr="003D5382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5382" w14:paraId="34B15F2C" w14:textId="77777777" w:rsidTr="004705C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C07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8A6DEF" w:rsidRPr="003D5382" w14:paraId="349941FC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CDD39" w14:textId="77777777" w:rsidR="008A6DEF" w:rsidRPr="003D5382" w:rsidRDefault="008F1EFD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8A6DEF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8F1EFD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6167986D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(SKŁADANE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A87EAE" w:rsidRPr="003D5382">
        <w:rPr>
          <w:rFonts w:cstheme="minorHAnsi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7CCC60BB" w14:textId="77777777" w:rsidR="00BA7C0B" w:rsidRDefault="00BA7C0B" w:rsidP="00BA7C0B">
      <w:pPr>
        <w:jc w:val="center"/>
        <w:rPr>
          <w:rFonts w:cstheme="minorHAnsi"/>
          <w:b/>
          <w:szCs w:val="20"/>
        </w:rPr>
      </w:pPr>
      <w:r w:rsidRPr="00BA7C0B">
        <w:rPr>
          <w:rFonts w:cstheme="minorHAnsi"/>
          <w:b/>
          <w:szCs w:val="20"/>
        </w:rPr>
        <w:t xml:space="preserve">Zakup i wdrożenie systemu SIEM </w:t>
      </w:r>
      <w:proofErr w:type="spellStart"/>
      <w:r w:rsidRPr="00BA7C0B">
        <w:rPr>
          <w:rFonts w:cstheme="minorHAnsi"/>
          <w:b/>
          <w:szCs w:val="20"/>
        </w:rPr>
        <w:t>Splunk</w:t>
      </w:r>
      <w:proofErr w:type="spellEnd"/>
      <w:r w:rsidRPr="00BA7C0B">
        <w:rPr>
          <w:rFonts w:cstheme="minorHAnsi"/>
          <w:b/>
          <w:szCs w:val="20"/>
        </w:rPr>
        <w:t xml:space="preserve"> Enterprise</w:t>
      </w:r>
    </w:p>
    <w:p w14:paraId="0F3D3E27" w14:textId="77777777" w:rsidR="00BA7C0B" w:rsidRDefault="00BA7C0B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77777777" w:rsidR="00435628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5382" w14:paraId="6FCC3670" w14:textId="77777777" w:rsidTr="004705CD">
        <w:trPr>
          <w:trHeight w:hRule="exact" w:val="168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7BC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902182" w:rsidRPr="003D5382" w14:paraId="21834D51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5403" w14:textId="77777777" w:rsidR="00902182" w:rsidRPr="003D5382" w:rsidRDefault="0090218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902182" w:rsidRPr="003D5382" w:rsidRDefault="0025327E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</w:t>
            </w:r>
            <w:r w:rsidR="00902182" w:rsidRPr="003D5382">
              <w:rPr>
                <w:rFonts w:cstheme="minorHAnsi"/>
                <w:b/>
                <w:szCs w:val="20"/>
              </w:rPr>
              <w:t>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837795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(SKŁADANA WRAZ 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="00082234" w:rsidRPr="003D5382">
        <w:rPr>
          <w:rFonts w:cstheme="minorHAnsi"/>
          <w:sz w:val="20"/>
          <w:szCs w:val="20"/>
          <w:u w:val="single"/>
        </w:rPr>
        <w:t>Ą)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B6D07E" w14:textId="77777777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3B48DB0E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Pr="00BD4CC6">
        <w:rPr>
          <w:rFonts w:cstheme="minorHAnsi"/>
          <w:b/>
          <w:bCs/>
          <w:szCs w:val="20"/>
        </w:rPr>
        <w:t>1400/DW00/ZT/KZ/2022/0000</w:t>
      </w:r>
      <w:r>
        <w:rPr>
          <w:rFonts w:cstheme="minorHAnsi"/>
          <w:b/>
          <w:bCs/>
          <w:szCs w:val="20"/>
        </w:rPr>
        <w:t>129529</w:t>
      </w:r>
    </w:p>
    <w:p w14:paraId="5730B29B" w14:textId="6CA34E1A" w:rsidR="007345B6" w:rsidRPr="00A87EAE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77DCBF93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Pr="00BD4CC6">
        <w:rPr>
          <w:rFonts w:cstheme="minorHAnsi"/>
          <w:b/>
          <w:bCs/>
          <w:szCs w:val="20"/>
        </w:rPr>
        <w:t>1400/DW00/ZT/KZ/2022/0000</w:t>
      </w:r>
      <w:r>
        <w:rPr>
          <w:rFonts w:cstheme="minorHAnsi"/>
          <w:b/>
          <w:bCs/>
          <w:szCs w:val="20"/>
        </w:rPr>
        <w:t xml:space="preserve">129529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38A2EFC9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BD4CC6">
        <w:rPr>
          <w:rFonts w:cstheme="minorHAnsi"/>
          <w:b/>
          <w:bCs/>
          <w:szCs w:val="20"/>
        </w:rPr>
        <w:t>1400/DW00/ZT/KZ/2022/0000</w:t>
      </w:r>
      <w:r>
        <w:rPr>
          <w:rFonts w:cstheme="minorHAnsi"/>
          <w:b/>
          <w:bCs/>
          <w:szCs w:val="20"/>
        </w:rPr>
        <w:t>129529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345B6">
      <w:pPr>
        <w:numPr>
          <w:ilvl w:val="0"/>
          <w:numId w:val="89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77777777" w:rsidR="007345B6" w:rsidRPr="00E97812" w:rsidRDefault="007345B6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82234" w:rsidRPr="003D5382" w14:paraId="421F9FC1" w14:textId="77777777" w:rsidTr="00872D3D">
        <w:trPr>
          <w:trHeight w:hRule="exact" w:val="96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78B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082234" w:rsidRPr="003D5382" w:rsidRDefault="00082234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82234" w:rsidRPr="003D5382" w14:paraId="56B89915" w14:textId="77777777" w:rsidTr="004705C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7971" w14:textId="77777777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082234" w:rsidRPr="003D5382" w:rsidRDefault="00082234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47B0E57E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8377960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PRZOJEKTÓW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3D5382">
        <w:rPr>
          <w:rFonts w:cstheme="minorHAnsi"/>
          <w:sz w:val="20"/>
          <w:szCs w:val="20"/>
          <w:u w:val="single"/>
        </w:rPr>
        <w:t xml:space="preserve">(SKŁADANY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6BBBA275" w14:textId="77777777" w:rsidR="007345B6" w:rsidRDefault="007345B6" w:rsidP="007345B6">
      <w:pPr>
        <w:jc w:val="center"/>
        <w:rPr>
          <w:rFonts w:cstheme="minorHAnsi"/>
          <w:b/>
          <w:szCs w:val="20"/>
        </w:rPr>
      </w:pPr>
      <w:r w:rsidRPr="00BA7C0B">
        <w:rPr>
          <w:rFonts w:cstheme="minorHAnsi"/>
          <w:b/>
          <w:szCs w:val="20"/>
        </w:rPr>
        <w:t xml:space="preserve">Zakup i wdrożenie systemu SIEM </w:t>
      </w:r>
      <w:proofErr w:type="spellStart"/>
      <w:r w:rsidRPr="00BA7C0B">
        <w:rPr>
          <w:rFonts w:cstheme="minorHAnsi"/>
          <w:b/>
          <w:szCs w:val="20"/>
        </w:rPr>
        <w:t>Splunk</w:t>
      </w:r>
      <w:proofErr w:type="spellEnd"/>
      <w:r w:rsidRPr="00BA7C0B">
        <w:rPr>
          <w:rFonts w:cstheme="minorHAnsi"/>
          <w:b/>
          <w:szCs w:val="20"/>
        </w:rPr>
        <w:t xml:space="preserve"> Enterprise</w:t>
      </w:r>
    </w:p>
    <w:p w14:paraId="73C190D4" w14:textId="77777777" w:rsidR="00147A88" w:rsidRPr="003D5382" w:rsidRDefault="00147A8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0BD58ED8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było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r w:rsidR="007345B6" w:rsidRPr="007345B6">
              <w:rPr>
                <w:rFonts w:cstheme="minorHAnsi"/>
                <w:b/>
                <w:szCs w:val="20"/>
              </w:rPr>
              <w:t xml:space="preserve">dostarczenie systemu </w:t>
            </w:r>
            <w:proofErr w:type="spellStart"/>
            <w:r w:rsidR="007345B6" w:rsidRPr="007345B6">
              <w:rPr>
                <w:rFonts w:cstheme="minorHAnsi"/>
                <w:b/>
                <w:szCs w:val="20"/>
              </w:rPr>
              <w:t>Splunk</w:t>
            </w:r>
            <w:proofErr w:type="spellEnd"/>
            <w:r w:rsidR="007345B6" w:rsidRPr="007345B6">
              <w:rPr>
                <w:rFonts w:cstheme="minorHAnsi"/>
                <w:b/>
                <w:szCs w:val="20"/>
              </w:rPr>
              <w:t xml:space="preserve"> i/lub świadczeniu wsparcia serwisowego w zakresie systemu </w:t>
            </w:r>
            <w:proofErr w:type="spellStart"/>
            <w:r w:rsidR="007345B6" w:rsidRPr="007345B6">
              <w:rPr>
                <w:rFonts w:cstheme="minorHAnsi"/>
                <w:b/>
                <w:szCs w:val="20"/>
              </w:rPr>
              <w:t>Splunk</w:t>
            </w:r>
            <w:proofErr w:type="spellEnd"/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5C31815A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7345B6">
              <w:rPr>
                <w:rFonts w:cstheme="minorHAnsi"/>
                <w:b/>
                <w:szCs w:val="20"/>
              </w:rPr>
              <w:t>5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7345B6">
              <w:rPr>
                <w:rFonts w:cstheme="minorHAnsi"/>
                <w:b/>
                <w:szCs w:val="20"/>
              </w:rPr>
              <w:t>pięćset</w:t>
            </w:r>
            <w:r w:rsidR="008A53A7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11986" w:rsidRPr="003D5382" w14:paraId="513FC7F1" w14:textId="77777777" w:rsidTr="003615A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87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11986" w:rsidRPr="003D5382" w:rsidRDefault="00811986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11986" w:rsidRPr="003D5382" w14:paraId="51D41079" w14:textId="77777777" w:rsidTr="003615A3">
        <w:trPr>
          <w:trHeight w:val="380"/>
          <w:jc w:val="center"/>
        </w:trPr>
        <w:tc>
          <w:tcPr>
            <w:tcW w:w="4059" w:type="dxa"/>
            <w:hideMark/>
          </w:tcPr>
          <w:p w14:paraId="16E64F5B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C7F11A1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  <w:bookmarkStart w:id="36" w:name="_GoBack"/>
      <w:bookmarkEnd w:id="36"/>
    </w:p>
    <w:p w14:paraId="75311014" w14:textId="6B9560A1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(SKŁADANE NA WEZWANIE PRZEZ WYKONAWCĘ KTÓREGO </w:t>
      </w:r>
      <w:r w:rsidR="001376E7" w:rsidRPr="003D5382">
        <w:rPr>
          <w:rFonts w:cstheme="minorHAnsi"/>
          <w:sz w:val="20"/>
          <w:szCs w:val="20"/>
          <w:u w:val="single"/>
        </w:rPr>
        <w:t>OFERTA</w:t>
      </w:r>
      <w:r w:rsidR="007E46BF" w:rsidRPr="003D5382">
        <w:rPr>
          <w:rFonts w:cstheme="minorHAnsi"/>
          <w:sz w:val="20"/>
          <w:szCs w:val="20"/>
          <w:u w:val="single"/>
        </w:rPr>
        <w:t xml:space="preserve"> ZOSTANIE NAJWYŻEJ OCENIONA)</w:t>
      </w:r>
      <w:bookmarkEnd w:id="3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217766C" w14:textId="77777777" w:rsidR="007345B6" w:rsidRDefault="007345B6" w:rsidP="007345B6">
            <w:pPr>
              <w:jc w:val="center"/>
              <w:rPr>
                <w:rFonts w:cstheme="minorHAnsi"/>
                <w:b/>
                <w:szCs w:val="20"/>
              </w:rPr>
            </w:pPr>
            <w:r w:rsidRPr="00BA7C0B">
              <w:rPr>
                <w:rFonts w:cstheme="minorHAnsi"/>
                <w:b/>
                <w:szCs w:val="20"/>
              </w:rPr>
              <w:t xml:space="preserve">Zakup i wdrożenie systemu SIEM </w:t>
            </w:r>
            <w:proofErr w:type="spellStart"/>
            <w:r w:rsidRPr="00BA7C0B">
              <w:rPr>
                <w:rFonts w:cstheme="minorHAnsi"/>
                <w:b/>
                <w:szCs w:val="20"/>
              </w:rPr>
              <w:t>Splunk</w:t>
            </w:r>
            <w:proofErr w:type="spellEnd"/>
            <w:r w:rsidRPr="00BA7C0B">
              <w:rPr>
                <w:rFonts w:cstheme="minorHAnsi"/>
                <w:b/>
                <w:szCs w:val="20"/>
              </w:rPr>
              <w:t xml:space="preserve"> Enterprise</w:t>
            </w:r>
          </w:p>
          <w:p w14:paraId="571DE7FF" w14:textId="158E6077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01BE5292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F44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331CFE8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726268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0391A" w:rsidRPr="003D5382" w14:paraId="3274525F" w14:textId="77777777" w:rsidTr="00EB14D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8D2" w14:textId="77777777" w:rsidR="0030391A" w:rsidRPr="003D5382" w:rsidRDefault="0030391A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30391A" w:rsidRPr="003D5382" w14:paraId="4FFA66B9" w14:textId="77777777" w:rsidTr="00EB14D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88DA0F" w14:textId="77777777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30391A" w:rsidRPr="003D5382" w:rsidRDefault="0030391A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17F6856D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</w:p>
    <w:sectPr w:rsidR="001C5E9C" w:rsidRPr="003D5382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E403" w14:textId="77777777" w:rsidR="00CC3B8B" w:rsidRDefault="00CC3B8B" w:rsidP="007A1C80">
      <w:r>
        <w:separator/>
      </w:r>
    </w:p>
  </w:endnote>
  <w:endnote w:type="continuationSeparator" w:id="0">
    <w:p w14:paraId="25440534" w14:textId="77777777" w:rsidR="00CC3B8B" w:rsidRDefault="00CC3B8B" w:rsidP="007A1C80">
      <w:r>
        <w:continuationSeparator/>
      </w:r>
    </w:p>
  </w:endnote>
  <w:endnote w:type="continuationNotice" w:id="1">
    <w:p w14:paraId="3544CDB0" w14:textId="77777777" w:rsidR="00CC3B8B" w:rsidRDefault="00CC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CC3B8B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CC3B8B" w:rsidRPr="00B16B42" w:rsidRDefault="00CC3B8B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CC3B8B" w:rsidRDefault="00CC3B8B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754314F0" w:rsidR="00CC3B8B" w:rsidRDefault="00CC3B8B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27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CC3B8B" w:rsidRPr="00CC08B4" w:rsidRDefault="00CC3B8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CC3B8B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CC3B8B" w:rsidRPr="00DD3397" w:rsidRDefault="00CC3B8B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CC3B8B" w:rsidRPr="00DD3397" w:rsidRDefault="00CC3B8B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9FB9" w14:textId="28D98F5D" w:rsidR="00CC3B8B" w:rsidRPr="00DD3397" w:rsidRDefault="00CC3B8B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>
            <w:rPr>
              <w:rFonts w:cstheme="minorHAnsi"/>
              <w:noProof/>
              <w:sz w:val="16"/>
              <w:szCs w:val="16"/>
            </w:rPr>
            <w:t>26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 w:rsidR="00297033">
            <w:rPr>
              <w:rFonts w:cstheme="minorHAnsi"/>
              <w:sz w:val="16"/>
              <w:szCs w:val="16"/>
            </w:rPr>
            <w:t>10</w:t>
          </w:r>
        </w:p>
        <w:p w14:paraId="5EE844F6" w14:textId="77777777" w:rsidR="00CC3B8B" w:rsidRPr="00DD3397" w:rsidRDefault="00CC3B8B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CC3B8B" w:rsidRPr="006467C1" w:rsidRDefault="00CC3B8B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55F27" w14:textId="77777777" w:rsidR="00CC3B8B" w:rsidRDefault="00CC3B8B" w:rsidP="007A1C80">
      <w:r>
        <w:separator/>
      </w:r>
    </w:p>
  </w:footnote>
  <w:footnote w:type="continuationSeparator" w:id="0">
    <w:p w14:paraId="05FE6E0E" w14:textId="77777777" w:rsidR="00CC3B8B" w:rsidRDefault="00CC3B8B" w:rsidP="007A1C80">
      <w:r>
        <w:continuationSeparator/>
      </w:r>
    </w:p>
  </w:footnote>
  <w:footnote w:type="continuationNotice" w:id="1">
    <w:p w14:paraId="422EE42E" w14:textId="77777777" w:rsidR="00CC3B8B" w:rsidRDefault="00CC3B8B"/>
  </w:footnote>
  <w:footnote w:id="2">
    <w:p w14:paraId="1C0FCD70" w14:textId="77777777" w:rsidR="00CC3B8B" w:rsidRDefault="00CC3B8B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CC3B8B" w:rsidRPr="00E67AD8" w:rsidRDefault="00CC3B8B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CC3B8B" w:rsidRPr="00E67AD8" w:rsidRDefault="00CC3B8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CC3B8B" w:rsidRPr="00E67AD8" w:rsidRDefault="00CC3B8B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CC3B8B" w:rsidRPr="00B13674" w:rsidRDefault="00CC3B8B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CC3B8B" w:rsidRPr="00924000" w:rsidRDefault="00CC3B8B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CC3B8B" w:rsidRPr="00891EB7" w:rsidRDefault="00CC3B8B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CC3B8B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CC3B8B" w:rsidRPr="00DD3397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CC3B8B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4E8F2462" w:rsidR="00CC3B8B" w:rsidRPr="006B4A38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29529</w:t>
          </w:r>
        </w:p>
      </w:tc>
    </w:tr>
  </w:tbl>
  <w:p w14:paraId="6F0CB038" w14:textId="77777777" w:rsidR="00CC3B8B" w:rsidRPr="00C842CA" w:rsidRDefault="00CC3B8B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CC3B8B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CC3B8B" w:rsidRPr="00DD3397" w:rsidRDefault="00CC3B8B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CC3B8B" w:rsidRPr="00DD3397" w:rsidRDefault="00CC3B8B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CC3B8B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CC3B8B" w:rsidRPr="00DD3397" w:rsidRDefault="00CC3B8B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40F263EA" w:rsidR="00CC3B8B" w:rsidRPr="00F737B7" w:rsidRDefault="00CC3B8B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4362AE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29529</w:t>
          </w:r>
        </w:p>
      </w:tc>
    </w:tr>
  </w:tbl>
  <w:p w14:paraId="61AE3A27" w14:textId="77777777" w:rsidR="00CC3B8B" w:rsidRPr="00121F3A" w:rsidRDefault="00CC3B8B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CC3B8B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CC3B8B" w:rsidRPr="00DD3397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CC3B8B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218CD5C9" w:rsidR="00CC3B8B" w:rsidRPr="006B4A38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</w:t>
          </w:r>
          <w:r>
            <w:rPr>
              <w:rFonts w:cstheme="minorHAnsi"/>
              <w:b/>
              <w:bCs/>
              <w:sz w:val="18"/>
              <w:szCs w:val="18"/>
            </w:rPr>
            <w:t>14088</w:t>
          </w:r>
        </w:p>
      </w:tc>
    </w:tr>
  </w:tbl>
  <w:p w14:paraId="10775515" w14:textId="7FE214E0" w:rsidR="00CC3B8B" w:rsidRPr="001C5E9C" w:rsidRDefault="00CC3B8B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CC3B8B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CC3B8B" w:rsidRPr="00DD3397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CC3B8B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CC3B8B" w:rsidRPr="00DD3397" w:rsidRDefault="00CC3B8B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29808AA8" w:rsidR="00CC3B8B" w:rsidRPr="006B4A38" w:rsidRDefault="00CC3B8B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147A88">
            <w:rPr>
              <w:rFonts w:cstheme="minorHAnsi"/>
              <w:b/>
              <w:bCs/>
              <w:sz w:val="18"/>
              <w:szCs w:val="18"/>
            </w:rPr>
            <w:t>1400/DW00/ZT/KZ/2022/0000105053</w:t>
          </w:r>
        </w:p>
      </w:tc>
    </w:tr>
  </w:tbl>
  <w:p w14:paraId="1696B5CC" w14:textId="6545ED2B" w:rsidR="00CC3B8B" w:rsidRPr="00E838FD" w:rsidRDefault="00CC3B8B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3DD73C7"/>
    <w:multiLevelType w:val="singleLevel"/>
    <w:tmpl w:val="D72E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3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195621"/>
    <w:multiLevelType w:val="singleLevel"/>
    <w:tmpl w:val="E914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1" w15:restartNumberingAfterBreak="0">
    <w:nsid w:val="1AED2114"/>
    <w:multiLevelType w:val="singleLevel"/>
    <w:tmpl w:val="2C5421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2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3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1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8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EA3776D"/>
    <w:multiLevelType w:val="hybridMultilevel"/>
    <w:tmpl w:val="A0961F3C"/>
    <w:lvl w:ilvl="0" w:tplc="A60E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5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62C56602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6285E29"/>
    <w:multiLevelType w:val="hybridMultilevel"/>
    <w:tmpl w:val="F08E12C8"/>
    <w:lvl w:ilvl="0" w:tplc="EF6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7C57DD"/>
    <w:multiLevelType w:val="hybridMultilevel"/>
    <w:tmpl w:val="3DAAF304"/>
    <w:lvl w:ilvl="0" w:tplc="9F26D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EDE18F0"/>
    <w:multiLevelType w:val="singleLevel"/>
    <w:tmpl w:val="1048FD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DF04E8"/>
    <w:multiLevelType w:val="hybridMultilevel"/>
    <w:tmpl w:val="E5F21EB2"/>
    <w:lvl w:ilvl="0" w:tplc="F2207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6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7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6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65"/>
  </w:num>
  <w:num w:numId="3">
    <w:abstractNumId w:val="75"/>
  </w:num>
  <w:num w:numId="4">
    <w:abstractNumId w:val="47"/>
  </w:num>
  <w:num w:numId="5">
    <w:abstractNumId w:val="57"/>
  </w:num>
  <w:num w:numId="6">
    <w:abstractNumId w:val="69"/>
  </w:num>
  <w:num w:numId="7">
    <w:abstractNumId w:val="70"/>
  </w:num>
  <w:num w:numId="8">
    <w:abstractNumId w:val="28"/>
  </w:num>
  <w:num w:numId="9">
    <w:abstractNumId w:val="83"/>
  </w:num>
  <w:num w:numId="10">
    <w:abstractNumId w:val="74"/>
  </w:num>
  <w:num w:numId="11">
    <w:abstractNumId w:val="91"/>
  </w:num>
  <w:num w:numId="12">
    <w:abstractNumId w:val="19"/>
  </w:num>
  <w:num w:numId="13">
    <w:abstractNumId w:val="0"/>
  </w:num>
  <w:num w:numId="14">
    <w:abstractNumId w:val="65"/>
  </w:num>
  <w:num w:numId="15">
    <w:abstractNumId w:val="65"/>
  </w:num>
  <w:num w:numId="16">
    <w:abstractNumId w:val="21"/>
  </w:num>
  <w:num w:numId="17">
    <w:abstractNumId w:val="87"/>
  </w:num>
  <w:num w:numId="18">
    <w:abstractNumId w:val="65"/>
  </w:num>
  <w:num w:numId="19">
    <w:abstractNumId w:val="68"/>
  </w:num>
  <w:num w:numId="20">
    <w:abstractNumId w:val="61"/>
  </w:num>
  <w:num w:numId="21">
    <w:abstractNumId w:val="98"/>
  </w:num>
  <w:num w:numId="22">
    <w:abstractNumId w:val="54"/>
  </w:num>
  <w:num w:numId="23">
    <w:abstractNumId w:val="46"/>
  </w:num>
  <w:num w:numId="24">
    <w:abstractNumId w:val="27"/>
  </w:num>
  <w:num w:numId="25">
    <w:abstractNumId w:val="37"/>
  </w:num>
  <w:num w:numId="26">
    <w:abstractNumId w:val="65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2"/>
  </w:num>
  <w:num w:numId="31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6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44"/>
  </w:num>
  <w:num w:numId="35">
    <w:abstractNumId w:val="62"/>
  </w:num>
  <w:num w:numId="36">
    <w:abstractNumId w:val="60"/>
  </w:num>
  <w:num w:numId="37">
    <w:abstractNumId w:val="20"/>
  </w:num>
  <w:num w:numId="38">
    <w:abstractNumId w:val="97"/>
  </w:num>
  <w:num w:numId="39">
    <w:abstractNumId w:val="51"/>
  </w:num>
  <w:num w:numId="40">
    <w:abstractNumId w:val="67"/>
  </w:num>
  <w:num w:numId="41">
    <w:abstractNumId w:val="90"/>
  </w:num>
  <w:num w:numId="42">
    <w:abstractNumId w:val="73"/>
  </w:num>
  <w:num w:numId="43">
    <w:abstractNumId w:val="92"/>
  </w:num>
  <w:num w:numId="44">
    <w:abstractNumId w:val="45"/>
  </w:num>
  <w:num w:numId="45">
    <w:abstractNumId w:val="58"/>
  </w:num>
  <w:num w:numId="46">
    <w:abstractNumId w:val="34"/>
  </w:num>
  <w:num w:numId="47">
    <w:abstractNumId w:val="81"/>
  </w:num>
  <w:num w:numId="48">
    <w:abstractNumId w:val="33"/>
  </w:num>
  <w:num w:numId="49">
    <w:abstractNumId w:val="53"/>
  </w:num>
  <w:num w:numId="50">
    <w:abstractNumId w:val="52"/>
  </w:num>
  <w:num w:numId="51">
    <w:abstractNumId w:val="6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66"/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36"/>
  </w:num>
  <w:num w:numId="58">
    <w:abstractNumId w:val="50"/>
  </w:num>
  <w:num w:numId="59">
    <w:abstractNumId w:val="93"/>
  </w:num>
  <w:num w:numId="60">
    <w:abstractNumId w:val="25"/>
  </w:num>
  <w:num w:numId="61">
    <w:abstractNumId w:val="71"/>
  </w:num>
  <w:num w:numId="62">
    <w:abstractNumId w:val="84"/>
  </w:num>
  <w:num w:numId="63">
    <w:abstractNumId w:val="32"/>
  </w:num>
  <w:num w:numId="64">
    <w:abstractNumId w:val="80"/>
  </w:num>
  <w:num w:numId="65">
    <w:abstractNumId w:val="78"/>
  </w:num>
  <w:num w:numId="66">
    <w:abstractNumId w:val="96"/>
  </w:num>
  <w:num w:numId="67">
    <w:abstractNumId w:val="29"/>
  </w:num>
  <w:num w:numId="68">
    <w:abstractNumId w:val="48"/>
  </w:num>
  <w:num w:numId="69">
    <w:abstractNumId w:val="30"/>
  </w:num>
  <w:num w:numId="70">
    <w:abstractNumId w:val="99"/>
  </w:num>
  <w:num w:numId="71">
    <w:abstractNumId w:val="72"/>
  </w:num>
  <w:num w:numId="72">
    <w:abstractNumId w:val="26"/>
  </w:num>
  <w:num w:numId="73">
    <w:abstractNumId w:val="35"/>
  </w:num>
  <w:num w:numId="74">
    <w:abstractNumId w:val="94"/>
  </w:num>
  <w:num w:numId="75">
    <w:abstractNumId w:val="39"/>
  </w:num>
  <w:num w:numId="76">
    <w:abstractNumId w:val="23"/>
  </w:num>
  <w:num w:numId="77">
    <w:abstractNumId w:val="31"/>
  </w:num>
  <w:num w:numId="78">
    <w:abstractNumId w:val="82"/>
  </w:num>
  <w:num w:numId="79">
    <w:abstractNumId w:val="59"/>
  </w:num>
  <w:num w:numId="80">
    <w:abstractNumId w:val="76"/>
  </w:num>
  <w:num w:numId="81">
    <w:abstractNumId w:val="89"/>
  </w:num>
  <w:num w:numId="82">
    <w:abstractNumId w:val="77"/>
  </w:num>
  <w:num w:numId="83">
    <w:abstractNumId w:val="22"/>
  </w:num>
  <w:num w:numId="84">
    <w:abstractNumId w:val="41"/>
  </w:num>
  <w:num w:numId="85">
    <w:abstractNumId w:val="95"/>
  </w:num>
  <w:num w:numId="86">
    <w:abstractNumId w:val="55"/>
  </w:num>
  <w:num w:numId="87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6"/>
  </w:num>
  <w:num w:numId="91">
    <w:abstractNumId w:val="85"/>
  </w:num>
  <w:num w:numId="92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033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CFC632-D1AE-4216-B76D-2DF0B31C5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40F59B-64FA-4BF0-B6BE-CB33A83A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2022-12-19T11:29:00Z</cp:lastPrinted>
  <dcterms:created xsi:type="dcterms:W3CDTF">2022-12-19T12:39:00Z</dcterms:created>
  <dcterms:modified xsi:type="dcterms:W3CDTF">2022-12-19T12:39:00Z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